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8FA3" w14:textId="56DDECD7" w:rsidR="00C512C3" w:rsidRPr="00C512C3" w:rsidRDefault="00C512C3">
      <w:pPr>
        <w:spacing w:after="2" w:line="240" w:lineRule="auto"/>
        <w:ind w:left="586" w:right="64"/>
        <w:rPr>
          <w:rFonts w:ascii="Century Gothic" w:eastAsia="Century Gothic" w:hAnsi="Century Gothic" w:cs="Century Gothic"/>
          <w:iCs/>
          <w:color w:val="auto"/>
          <w:sz w:val="24"/>
          <w:szCs w:val="24"/>
        </w:rPr>
      </w:pPr>
      <w:r w:rsidRPr="00C512C3">
        <w:rPr>
          <w:rFonts w:ascii="Century Gothic" w:eastAsia="Century Gothic" w:hAnsi="Century Gothic" w:cs="Century Gothic"/>
          <w:iCs/>
          <w:color w:val="auto"/>
          <w:sz w:val="24"/>
          <w:szCs w:val="24"/>
        </w:rPr>
        <w:t>Forslag 6</w:t>
      </w:r>
    </w:p>
    <w:p w14:paraId="047D633F" w14:textId="77777777" w:rsidR="00C512C3" w:rsidRDefault="00C512C3">
      <w:pPr>
        <w:spacing w:after="2" w:line="240" w:lineRule="auto"/>
        <w:ind w:left="586" w:right="64"/>
        <w:rPr>
          <w:rFonts w:ascii="Century Gothic" w:eastAsia="Century Gothic" w:hAnsi="Century Gothic" w:cs="Century Gothic"/>
          <w:i/>
          <w:sz w:val="18"/>
        </w:rPr>
      </w:pPr>
    </w:p>
    <w:p w14:paraId="2E588F5E" w14:textId="77777777" w:rsidR="00C512C3" w:rsidRPr="00C512C3" w:rsidRDefault="00C512C3">
      <w:pPr>
        <w:spacing w:after="2" w:line="240" w:lineRule="auto"/>
        <w:ind w:left="586" w:right="64"/>
        <w:rPr>
          <w:rFonts w:ascii="Century Gothic" w:eastAsia="Century Gothic" w:hAnsi="Century Gothic" w:cs="Century Gothic"/>
          <w:i/>
          <w:color w:val="auto"/>
          <w:sz w:val="18"/>
        </w:rPr>
      </w:pPr>
    </w:p>
    <w:p w14:paraId="589DCCD2" w14:textId="2FC4ADD7" w:rsidR="0024122D" w:rsidRPr="00C512C3" w:rsidRDefault="00A10113">
      <w:pPr>
        <w:spacing w:after="2" w:line="240" w:lineRule="auto"/>
        <w:ind w:left="586" w:right="64"/>
        <w:rPr>
          <w:color w:val="auto"/>
        </w:rPr>
      </w:pPr>
      <w:r w:rsidRPr="00C512C3">
        <w:rPr>
          <w:rFonts w:ascii="Century Gothic" w:eastAsia="Century Gothic" w:hAnsi="Century Gothic" w:cs="Century Gothic"/>
          <w:i/>
          <w:color w:val="auto"/>
          <w:sz w:val="18"/>
        </w:rPr>
        <w:t>Iflg. Banken (Arbejdernes Landsbank</w:t>
      </w:r>
      <w:r w:rsidR="000D615D" w:rsidRPr="00C512C3">
        <w:rPr>
          <w:rFonts w:ascii="Century Gothic" w:eastAsia="Century Gothic" w:hAnsi="Century Gothic" w:cs="Century Gothic"/>
          <w:i/>
          <w:color w:val="auto"/>
          <w:sz w:val="18"/>
        </w:rPr>
        <w:t>)</w:t>
      </w:r>
      <w:r w:rsidR="00C512C3">
        <w:rPr>
          <w:rFonts w:ascii="Century Gothic" w:eastAsia="Century Gothic" w:hAnsi="Century Gothic" w:cs="Century Gothic"/>
          <w:i/>
          <w:color w:val="auto"/>
          <w:sz w:val="18"/>
        </w:rPr>
        <w:t xml:space="preserve"> </w:t>
      </w:r>
      <w:r w:rsidRPr="00C512C3">
        <w:rPr>
          <w:rFonts w:ascii="Century Gothic" w:eastAsia="Century Gothic" w:hAnsi="Century Gothic" w:cs="Century Gothic"/>
          <w:i/>
          <w:color w:val="auto"/>
          <w:sz w:val="18"/>
        </w:rPr>
        <w:t>– er vores §4</w:t>
      </w:r>
      <w:r w:rsidR="00F76080" w:rsidRPr="00C512C3">
        <w:rPr>
          <w:rFonts w:ascii="Century Gothic" w:eastAsia="Century Gothic" w:hAnsi="Century Gothic" w:cs="Century Gothic"/>
          <w:i/>
          <w:color w:val="auto"/>
          <w:sz w:val="18"/>
        </w:rPr>
        <w:t xml:space="preserve"> er</w:t>
      </w:r>
      <w:r w:rsidRPr="00C512C3">
        <w:rPr>
          <w:rFonts w:ascii="Century Gothic" w:eastAsia="Century Gothic" w:hAnsi="Century Gothic" w:cs="Century Gothic"/>
          <w:i/>
          <w:color w:val="auto"/>
          <w:sz w:val="18"/>
        </w:rPr>
        <w:t xml:space="preserve"> forældet– </w:t>
      </w:r>
      <w:r w:rsidR="00F76080" w:rsidRPr="00C512C3">
        <w:rPr>
          <w:rFonts w:ascii="Century Gothic" w:eastAsia="Century Gothic" w:hAnsi="Century Gothic" w:cs="Century Gothic"/>
          <w:i/>
          <w:color w:val="auto"/>
          <w:sz w:val="18"/>
        </w:rPr>
        <w:t xml:space="preserve">og </w:t>
      </w:r>
      <w:r w:rsidRPr="00C512C3">
        <w:rPr>
          <w:rFonts w:ascii="Century Gothic" w:eastAsia="Century Gothic" w:hAnsi="Century Gothic" w:cs="Century Gothic"/>
          <w:i/>
          <w:color w:val="auto"/>
          <w:sz w:val="18"/>
        </w:rPr>
        <w:t>skal derfor</w:t>
      </w:r>
      <w:r w:rsidR="006F73CB" w:rsidRPr="00C512C3">
        <w:rPr>
          <w:rFonts w:ascii="Century Gothic" w:eastAsia="Century Gothic" w:hAnsi="Century Gothic" w:cs="Century Gothic"/>
          <w:i/>
          <w:color w:val="auto"/>
          <w:sz w:val="18"/>
        </w:rPr>
        <w:t xml:space="preserve"> </w:t>
      </w:r>
      <w:r w:rsidRPr="00C512C3">
        <w:rPr>
          <w:rFonts w:ascii="Century Gothic" w:eastAsia="Century Gothic" w:hAnsi="Century Gothic" w:cs="Century Gothic"/>
          <w:i/>
          <w:color w:val="auto"/>
          <w:sz w:val="18"/>
        </w:rPr>
        <w:t>omformule</w:t>
      </w:r>
      <w:r w:rsidR="000D615D" w:rsidRPr="00C512C3">
        <w:rPr>
          <w:rFonts w:ascii="Century Gothic" w:eastAsia="Century Gothic" w:hAnsi="Century Gothic" w:cs="Century Gothic"/>
          <w:i/>
          <w:color w:val="auto"/>
          <w:sz w:val="18"/>
        </w:rPr>
        <w:t>r</w:t>
      </w:r>
      <w:r w:rsidR="006F73CB" w:rsidRPr="00C512C3">
        <w:rPr>
          <w:rFonts w:ascii="Century Gothic" w:eastAsia="Century Gothic" w:hAnsi="Century Gothic" w:cs="Century Gothic"/>
          <w:i/>
          <w:color w:val="auto"/>
          <w:sz w:val="18"/>
        </w:rPr>
        <w:t>es</w:t>
      </w:r>
      <w:r w:rsidR="00E61C06" w:rsidRPr="00C512C3">
        <w:rPr>
          <w:rFonts w:ascii="Century Gothic" w:eastAsia="Century Gothic" w:hAnsi="Century Gothic" w:cs="Century Gothic"/>
          <w:i/>
          <w:color w:val="auto"/>
          <w:sz w:val="18"/>
        </w:rPr>
        <w:t xml:space="preserve">, dette skal gøres, da vi ikke har mulighed for, at låne penge af banken til f.eks. nye vandrør, hvis dette bliver stemt </w:t>
      </w:r>
      <w:proofErr w:type="gramStart"/>
      <w:r w:rsidR="00E61C06" w:rsidRPr="00C512C3">
        <w:rPr>
          <w:rFonts w:ascii="Century Gothic" w:eastAsia="Century Gothic" w:hAnsi="Century Gothic" w:cs="Century Gothic"/>
          <w:i/>
          <w:color w:val="auto"/>
          <w:sz w:val="18"/>
        </w:rPr>
        <w:t>for  ved</w:t>
      </w:r>
      <w:proofErr w:type="gramEnd"/>
      <w:r w:rsidR="00E61C06" w:rsidRPr="00C512C3">
        <w:rPr>
          <w:rFonts w:ascii="Century Gothic" w:eastAsia="Century Gothic" w:hAnsi="Century Gothic" w:cs="Century Gothic"/>
          <w:i/>
          <w:color w:val="auto"/>
          <w:sz w:val="18"/>
        </w:rPr>
        <w:t xml:space="preserve"> én senere generalforsamling. </w:t>
      </w:r>
    </w:p>
    <w:p w14:paraId="38C76E6E" w14:textId="77777777" w:rsidR="0024122D" w:rsidRPr="00C512C3" w:rsidRDefault="00857B96">
      <w:pPr>
        <w:spacing w:after="2" w:line="259" w:lineRule="auto"/>
        <w:ind w:left="591" w:firstLine="0"/>
        <w:rPr>
          <w:color w:val="auto"/>
        </w:rPr>
      </w:pPr>
      <w:r w:rsidRPr="00C512C3">
        <w:rPr>
          <w:i/>
          <w:color w:val="auto"/>
        </w:rPr>
        <w:t xml:space="preserve"> </w:t>
      </w:r>
    </w:p>
    <w:p w14:paraId="55E45025" w14:textId="7414A5A4" w:rsidR="0024122D" w:rsidRPr="00C512C3" w:rsidRDefault="000D615D">
      <w:pPr>
        <w:pStyle w:val="Overskrift1"/>
        <w:rPr>
          <w:color w:val="auto"/>
        </w:rPr>
      </w:pPr>
      <w:r w:rsidRPr="00C512C3">
        <w:rPr>
          <w:color w:val="auto"/>
        </w:rPr>
        <w:t>Før:</w:t>
      </w:r>
    </w:p>
    <w:p w14:paraId="32E381A5" w14:textId="77777777" w:rsidR="0024122D" w:rsidRPr="00C512C3" w:rsidRDefault="00857B96">
      <w:pPr>
        <w:spacing w:after="0" w:line="259" w:lineRule="auto"/>
        <w:ind w:left="591" w:firstLine="0"/>
        <w:rPr>
          <w:color w:val="auto"/>
        </w:rPr>
      </w:pPr>
      <w:r w:rsidRPr="00C512C3">
        <w:rPr>
          <w:b/>
          <w:color w:val="auto"/>
        </w:rPr>
        <w:t xml:space="preserve"> </w:t>
      </w:r>
    </w:p>
    <w:p w14:paraId="544EBEB7" w14:textId="0045EA6E" w:rsidR="0024122D" w:rsidRPr="00C512C3" w:rsidRDefault="0024122D">
      <w:pPr>
        <w:spacing w:after="0" w:line="259" w:lineRule="auto"/>
        <w:ind w:left="1157" w:firstLine="0"/>
        <w:rPr>
          <w:color w:val="auto"/>
        </w:rPr>
      </w:pPr>
    </w:p>
    <w:p w14:paraId="6BF74CD7" w14:textId="77777777" w:rsidR="0024122D" w:rsidRPr="00C512C3" w:rsidRDefault="00857B96">
      <w:pPr>
        <w:pStyle w:val="Overskrift2"/>
        <w:tabs>
          <w:tab w:val="center" w:pos="729"/>
          <w:tab w:val="center" w:pos="1578"/>
        </w:tabs>
        <w:ind w:left="0" w:firstLine="0"/>
        <w:rPr>
          <w:color w:val="auto"/>
        </w:rPr>
      </w:pPr>
      <w:r w:rsidRPr="00C512C3">
        <w:rPr>
          <w:rFonts w:ascii="Calibri" w:eastAsia="Calibri" w:hAnsi="Calibri" w:cs="Calibri"/>
          <w:b w:val="0"/>
          <w:color w:val="auto"/>
          <w:sz w:val="22"/>
          <w:u w:val="none" w:color="000000"/>
        </w:rPr>
        <w:tab/>
      </w:r>
      <w:r w:rsidRPr="00C512C3">
        <w:rPr>
          <w:color w:val="auto"/>
          <w:u w:val="none" w:color="000000"/>
        </w:rPr>
        <w:t xml:space="preserve">§ 4 </w:t>
      </w:r>
      <w:r w:rsidRPr="00C512C3">
        <w:rPr>
          <w:color w:val="auto"/>
          <w:u w:val="none" w:color="000000"/>
        </w:rPr>
        <w:tab/>
      </w:r>
      <w:r w:rsidRPr="00C512C3">
        <w:rPr>
          <w:color w:val="auto"/>
        </w:rPr>
        <w:t>Hæftelse</w:t>
      </w:r>
      <w:r w:rsidRPr="00C512C3">
        <w:rPr>
          <w:b w:val="0"/>
          <w:color w:val="auto"/>
          <w:u w:val="none" w:color="000000"/>
        </w:rPr>
        <w:t xml:space="preserve"> </w:t>
      </w:r>
    </w:p>
    <w:p w14:paraId="094BD68F" w14:textId="77777777" w:rsidR="0024122D" w:rsidRPr="00C512C3" w:rsidRDefault="00857B96">
      <w:pPr>
        <w:spacing w:after="0" w:line="259" w:lineRule="auto"/>
        <w:ind w:left="591" w:firstLine="0"/>
        <w:rPr>
          <w:color w:val="auto"/>
        </w:rPr>
      </w:pPr>
      <w:r w:rsidRPr="00C512C3">
        <w:rPr>
          <w:color w:val="auto"/>
        </w:rPr>
        <w:t xml:space="preserve"> </w:t>
      </w:r>
    </w:p>
    <w:p w14:paraId="3D72E891" w14:textId="77777777" w:rsidR="0024122D" w:rsidRPr="00C512C3" w:rsidRDefault="00857B96">
      <w:pPr>
        <w:ind w:right="8"/>
        <w:rPr>
          <w:color w:val="auto"/>
        </w:rPr>
      </w:pPr>
      <w:r w:rsidRPr="00C512C3">
        <w:rPr>
          <w:color w:val="auto"/>
        </w:rPr>
        <w:t xml:space="preserve">H/F Energien hæfter alene for sine forpligtelser af enhver art med </w:t>
      </w:r>
      <w:proofErr w:type="gramStart"/>
      <w:r w:rsidRPr="00C512C3">
        <w:rPr>
          <w:color w:val="auto"/>
        </w:rPr>
        <w:t>den foreningen</w:t>
      </w:r>
      <w:proofErr w:type="gramEnd"/>
      <w:r w:rsidRPr="00C512C3">
        <w:rPr>
          <w:color w:val="auto"/>
        </w:rPr>
        <w:t xml:space="preserve"> til enhver tid tilhørende formue. Der påhviler hverken foreningens medlemmer eller bestyrelse nogen personlig hæftelse udover forfalden haveleje. </w:t>
      </w:r>
    </w:p>
    <w:p w14:paraId="7C50DA7D" w14:textId="77777777" w:rsidR="0024122D" w:rsidRPr="00C512C3" w:rsidRDefault="00857B96">
      <w:pPr>
        <w:spacing w:after="0" w:line="259" w:lineRule="auto"/>
        <w:ind w:left="1157" w:firstLine="0"/>
        <w:rPr>
          <w:color w:val="auto"/>
        </w:rPr>
      </w:pPr>
      <w:r w:rsidRPr="00C512C3">
        <w:rPr>
          <w:color w:val="auto"/>
        </w:rPr>
        <w:t xml:space="preserve">  </w:t>
      </w:r>
    </w:p>
    <w:p w14:paraId="44DAE91E" w14:textId="77777777" w:rsidR="0024122D" w:rsidRPr="00C512C3" w:rsidRDefault="00857B96">
      <w:pPr>
        <w:ind w:right="8"/>
        <w:rPr>
          <w:color w:val="auto"/>
        </w:rPr>
      </w:pPr>
      <w:r w:rsidRPr="00C512C3">
        <w:rPr>
          <w:color w:val="auto"/>
        </w:rPr>
        <w:t xml:space="preserve">Kapitalindskuddet kan ikke gøres til genstand for arrest eller eksekution som følge af ude fra opståede forhold. </w:t>
      </w:r>
    </w:p>
    <w:p w14:paraId="425F4CD0" w14:textId="77777777" w:rsidR="00D96A19" w:rsidRDefault="00D96A19">
      <w:pPr>
        <w:ind w:right="8"/>
      </w:pPr>
    </w:p>
    <w:p w14:paraId="561D1F5B" w14:textId="77777777" w:rsidR="00680537" w:rsidRDefault="00680537" w:rsidP="00D96A19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sz w:val="24"/>
          <w:szCs w:val="24"/>
        </w:rPr>
      </w:pPr>
    </w:p>
    <w:p w14:paraId="6EB4D9EE" w14:textId="20045134" w:rsidR="00D96A19" w:rsidRPr="00C512C3" w:rsidRDefault="00680537" w:rsidP="00D96A19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FF0000"/>
          <w:sz w:val="24"/>
          <w:szCs w:val="24"/>
        </w:rPr>
      </w:pPr>
      <w:r w:rsidRPr="00C512C3">
        <w:rPr>
          <w:rFonts w:eastAsia="Times New Roman"/>
          <w:color w:val="FF0000"/>
          <w:sz w:val="24"/>
          <w:szCs w:val="24"/>
        </w:rPr>
        <w:t>Ny formulering</w:t>
      </w:r>
      <w:r w:rsidR="000D615D" w:rsidRPr="00C512C3">
        <w:rPr>
          <w:rFonts w:eastAsia="Times New Roman"/>
          <w:color w:val="FF0000"/>
          <w:sz w:val="24"/>
          <w:szCs w:val="24"/>
        </w:rPr>
        <w:t xml:space="preserve">: </w:t>
      </w:r>
      <w:r w:rsidR="00C512C3" w:rsidRPr="00C512C3">
        <w:rPr>
          <w:rFonts w:eastAsia="Times New Roman"/>
          <w:color w:val="FF0000"/>
          <w:sz w:val="24"/>
          <w:szCs w:val="24"/>
        </w:rPr>
        <w:t xml:space="preserve">(er modtaget </w:t>
      </w:r>
      <w:r w:rsidR="006477C5">
        <w:rPr>
          <w:rFonts w:eastAsia="Times New Roman"/>
          <w:color w:val="FF0000"/>
          <w:sz w:val="24"/>
          <w:szCs w:val="24"/>
        </w:rPr>
        <w:t>af</w:t>
      </w:r>
      <w:r w:rsidR="00C512C3" w:rsidRPr="00C512C3">
        <w:rPr>
          <w:rFonts w:eastAsia="Times New Roman"/>
          <w:color w:val="FF0000"/>
          <w:sz w:val="24"/>
          <w:szCs w:val="24"/>
        </w:rPr>
        <w:t xml:space="preserve"> banken)</w:t>
      </w:r>
    </w:p>
    <w:p w14:paraId="4307A2C7" w14:textId="16FC9006" w:rsidR="00E61C06" w:rsidRPr="00C512C3" w:rsidRDefault="00E61C06" w:rsidP="00D96A19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FF0000"/>
          <w:sz w:val="24"/>
          <w:szCs w:val="24"/>
        </w:rPr>
      </w:pPr>
    </w:p>
    <w:p w14:paraId="722E06F3" w14:textId="77777777" w:rsidR="00E61C06" w:rsidRPr="00C512C3" w:rsidRDefault="00E61C06" w:rsidP="00D96A19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FF0000"/>
          <w:sz w:val="24"/>
          <w:szCs w:val="24"/>
        </w:rPr>
      </w:pPr>
    </w:p>
    <w:p w14:paraId="02BC3907" w14:textId="5767E5BC" w:rsidR="00D96A19" w:rsidRPr="00C512C3" w:rsidRDefault="00D96A19" w:rsidP="00D96A19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FF0000"/>
          <w:sz w:val="24"/>
          <w:szCs w:val="24"/>
        </w:rPr>
      </w:pPr>
      <w:r w:rsidRPr="00C512C3">
        <w:rPr>
          <w:rFonts w:eastAsia="Times New Roman"/>
          <w:color w:val="FF0000"/>
          <w:sz w:val="24"/>
          <w:szCs w:val="24"/>
        </w:rPr>
        <w:t xml:space="preserve">Foreningens medlemmer hæfter personligt </w:t>
      </w:r>
      <w:r w:rsidR="00E61C06" w:rsidRPr="00C512C3">
        <w:rPr>
          <w:rFonts w:eastAsia="Times New Roman"/>
          <w:color w:val="FF0000"/>
          <w:sz w:val="24"/>
          <w:szCs w:val="24"/>
        </w:rPr>
        <w:t>p</w:t>
      </w:r>
      <w:r w:rsidR="00786EC1" w:rsidRPr="00C512C3">
        <w:rPr>
          <w:rFonts w:eastAsia="Times New Roman"/>
          <w:color w:val="FF0000"/>
          <w:sz w:val="24"/>
          <w:szCs w:val="24"/>
        </w:rPr>
        <w:t>ro rata</w:t>
      </w:r>
    </w:p>
    <w:p w14:paraId="09E465E3" w14:textId="77777777" w:rsidR="00D96A19" w:rsidRPr="00C512C3" w:rsidRDefault="00D96A19" w:rsidP="00D96A19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FF0000"/>
          <w:sz w:val="24"/>
          <w:szCs w:val="24"/>
        </w:rPr>
      </w:pPr>
      <w:r w:rsidRPr="00C512C3">
        <w:rPr>
          <w:rFonts w:eastAsia="Times New Roman"/>
          <w:color w:val="FF0000"/>
          <w:sz w:val="24"/>
          <w:szCs w:val="24"/>
        </w:rPr>
        <w:t>for foreningens hæftelser og forpligtelser, således som disse</w:t>
      </w:r>
    </w:p>
    <w:p w14:paraId="1A256C9E" w14:textId="77777777" w:rsidR="00D96A19" w:rsidRPr="00C512C3" w:rsidRDefault="00D96A19" w:rsidP="00D96A19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FF0000"/>
          <w:sz w:val="24"/>
          <w:szCs w:val="24"/>
        </w:rPr>
      </w:pPr>
      <w:r w:rsidRPr="00C512C3">
        <w:rPr>
          <w:rFonts w:eastAsia="Times New Roman"/>
          <w:color w:val="FF0000"/>
          <w:sz w:val="24"/>
          <w:szCs w:val="24"/>
        </w:rPr>
        <w:t>til enhver tid kan udledes af foreningens regnskabsaflæggelse</w:t>
      </w:r>
    </w:p>
    <w:p w14:paraId="28C4A7E2" w14:textId="77777777" w:rsidR="00D96A19" w:rsidRPr="00C512C3" w:rsidRDefault="00D96A19" w:rsidP="00D96A19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FF0000"/>
          <w:sz w:val="24"/>
          <w:szCs w:val="24"/>
        </w:rPr>
      </w:pPr>
      <w:r w:rsidRPr="00C512C3">
        <w:rPr>
          <w:rFonts w:eastAsia="Times New Roman"/>
          <w:color w:val="FF0000"/>
          <w:sz w:val="24"/>
          <w:szCs w:val="24"/>
        </w:rPr>
        <w:t>overfor medlemmerne.</w:t>
      </w:r>
    </w:p>
    <w:p w14:paraId="30FFE47C" w14:textId="77777777" w:rsidR="00D96A19" w:rsidRDefault="00D96A19">
      <w:pPr>
        <w:ind w:right="8"/>
      </w:pPr>
    </w:p>
    <w:p w14:paraId="1D2DF98B" w14:textId="77777777" w:rsidR="0024122D" w:rsidRDefault="00857B96">
      <w:pPr>
        <w:spacing w:after="0" w:line="259" w:lineRule="auto"/>
        <w:ind w:left="192" w:firstLine="0"/>
      </w:pPr>
      <w:r>
        <w:t xml:space="preserve"> </w:t>
      </w:r>
    </w:p>
    <w:p w14:paraId="07CB1494" w14:textId="778FBD95" w:rsidR="000D615D" w:rsidRDefault="00857B96" w:rsidP="000D615D">
      <w:pPr>
        <w:pStyle w:val="Overskrift2"/>
        <w:tabs>
          <w:tab w:val="center" w:pos="192"/>
          <w:tab w:val="center" w:pos="729"/>
          <w:tab w:val="center" w:pos="1357"/>
        </w:tabs>
        <w:ind w:left="0" w:firstLine="0"/>
        <w:rPr>
          <w:b w:val="0"/>
          <w:sz w:val="18"/>
        </w:rPr>
      </w:pPr>
      <w:r>
        <w:rPr>
          <w:rFonts w:ascii="Calibri" w:eastAsia="Calibri" w:hAnsi="Calibri" w:cs="Calibri"/>
          <w:b w:val="0"/>
          <w:color w:val="000000"/>
          <w:sz w:val="22"/>
          <w:u w:val="none" w:color="000000"/>
        </w:rPr>
        <w:tab/>
      </w:r>
      <w:r>
        <w:rPr>
          <w:u w:val="none" w:color="000000"/>
        </w:rPr>
        <w:t xml:space="preserve"> </w:t>
      </w:r>
      <w:r>
        <w:rPr>
          <w:u w:val="none" w:color="000000"/>
        </w:rPr>
        <w:tab/>
      </w:r>
    </w:p>
    <w:sectPr w:rsidR="000D615D">
      <w:footerReference w:type="even" r:id="rId7"/>
      <w:footerReference w:type="default" r:id="rId8"/>
      <w:footerReference w:type="first" r:id="rId9"/>
      <w:pgSz w:w="11906" w:h="16841"/>
      <w:pgMar w:top="1425" w:right="1064" w:bottom="1425" w:left="828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B801" w14:textId="77777777" w:rsidR="00766A80" w:rsidRDefault="00766A80">
      <w:pPr>
        <w:spacing w:after="0" w:line="240" w:lineRule="auto"/>
      </w:pPr>
      <w:r>
        <w:separator/>
      </w:r>
    </w:p>
  </w:endnote>
  <w:endnote w:type="continuationSeparator" w:id="0">
    <w:p w14:paraId="68082A66" w14:textId="77777777" w:rsidR="00766A80" w:rsidRDefault="0076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6DA2" w14:textId="77777777" w:rsidR="0024122D" w:rsidRDefault="00857B96">
    <w:pPr>
      <w:tabs>
        <w:tab w:val="center" w:pos="591"/>
        <w:tab w:val="right" w:pos="10014"/>
      </w:tabs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ab/>
    </w:r>
    <w:r>
      <w:rPr>
        <w:i/>
        <w:color w:val="000000"/>
        <w:sz w:val="16"/>
      </w:rPr>
      <w:t xml:space="preserve"> </w:t>
    </w:r>
    <w:r>
      <w:rPr>
        <w:i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3805" w14:textId="77777777" w:rsidR="0024122D" w:rsidRDefault="00857B96">
    <w:pPr>
      <w:tabs>
        <w:tab w:val="center" w:pos="591"/>
        <w:tab w:val="right" w:pos="10014"/>
      </w:tabs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ab/>
    </w:r>
    <w:r>
      <w:rPr>
        <w:i/>
        <w:color w:val="000000"/>
        <w:sz w:val="16"/>
      </w:rPr>
      <w:t xml:space="preserve"> </w:t>
    </w:r>
    <w:r>
      <w:rPr>
        <w:i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E4FB" w14:textId="77777777" w:rsidR="0024122D" w:rsidRDefault="00857B96">
    <w:pPr>
      <w:tabs>
        <w:tab w:val="center" w:pos="591"/>
        <w:tab w:val="right" w:pos="10014"/>
      </w:tabs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ab/>
    </w:r>
    <w:r>
      <w:rPr>
        <w:i/>
        <w:color w:val="000000"/>
        <w:sz w:val="16"/>
      </w:rPr>
      <w:t xml:space="preserve"> </w:t>
    </w:r>
    <w:r>
      <w:rPr>
        <w:i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8A8B" w14:textId="77777777" w:rsidR="00766A80" w:rsidRDefault="00766A80">
      <w:pPr>
        <w:spacing w:after="0" w:line="240" w:lineRule="auto"/>
      </w:pPr>
      <w:r>
        <w:separator/>
      </w:r>
    </w:p>
  </w:footnote>
  <w:footnote w:type="continuationSeparator" w:id="0">
    <w:p w14:paraId="09E299C1" w14:textId="77777777" w:rsidR="00766A80" w:rsidRDefault="0076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06CC"/>
    <w:multiLevelType w:val="multilevel"/>
    <w:tmpl w:val="BBA05F3E"/>
    <w:lvl w:ilvl="0">
      <w:start w:val="9"/>
      <w:numFmt w:val="decimal"/>
      <w:lvlText w:val="%1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2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1671E"/>
    <w:multiLevelType w:val="hybridMultilevel"/>
    <w:tmpl w:val="608E808C"/>
    <w:lvl w:ilvl="0" w:tplc="FAE01112">
      <w:start w:val="1"/>
      <w:numFmt w:val="bullet"/>
      <w:lvlText w:val="-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071AC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BA605A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0497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01B50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2CA27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30EAB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2896F0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69444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770BD9"/>
    <w:multiLevelType w:val="hybridMultilevel"/>
    <w:tmpl w:val="7DA6B5EA"/>
    <w:lvl w:ilvl="0" w:tplc="621677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29502">
      <w:start w:val="1"/>
      <w:numFmt w:val="bullet"/>
      <w:lvlText w:val="o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6CC78">
      <w:start w:val="1"/>
      <w:numFmt w:val="bullet"/>
      <w:lvlText w:val="▪"/>
      <w:lvlJc w:val="left"/>
      <w:pPr>
        <w:ind w:left="2034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86F3E">
      <w:start w:val="1"/>
      <w:numFmt w:val="bullet"/>
      <w:lvlRestart w:val="0"/>
      <w:lvlText w:val="-"/>
      <w:lvlJc w:val="left"/>
      <w:pPr>
        <w:ind w:left="3224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CCE00">
      <w:start w:val="1"/>
      <w:numFmt w:val="bullet"/>
      <w:lvlText w:val="o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2D564">
      <w:start w:val="1"/>
      <w:numFmt w:val="bullet"/>
      <w:lvlText w:val="▪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90F040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22440">
      <w:start w:val="1"/>
      <w:numFmt w:val="bullet"/>
      <w:lvlText w:val="o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A4B188">
      <w:start w:val="1"/>
      <w:numFmt w:val="bullet"/>
      <w:lvlText w:val="▪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1884769">
    <w:abstractNumId w:val="1"/>
  </w:num>
  <w:num w:numId="2" w16cid:durableId="158888769">
    <w:abstractNumId w:val="0"/>
  </w:num>
  <w:num w:numId="3" w16cid:durableId="130373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2D"/>
    <w:rsid w:val="000D615D"/>
    <w:rsid w:val="000E45FD"/>
    <w:rsid w:val="001255FC"/>
    <w:rsid w:val="0024122D"/>
    <w:rsid w:val="002A6FD2"/>
    <w:rsid w:val="00300F63"/>
    <w:rsid w:val="00560DC7"/>
    <w:rsid w:val="006477C5"/>
    <w:rsid w:val="00680537"/>
    <w:rsid w:val="006F73CB"/>
    <w:rsid w:val="007606C0"/>
    <w:rsid w:val="00766A80"/>
    <w:rsid w:val="00786EC1"/>
    <w:rsid w:val="00857B96"/>
    <w:rsid w:val="00A10113"/>
    <w:rsid w:val="00C304A3"/>
    <w:rsid w:val="00C512C3"/>
    <w:rsid w:val="00D722C3"/>
    <w:rsid w:val="00D96A19"/>
    <w:rsid w:val="00E47118"/>
    <w:rsid w:val="00E61C06"/>
    <w:rsid w:val="00EE201B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4CD6"/>
  <w15:docId w15:val="{B64CD105-4F28-4175-95FF-4A6F04BB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67" w:hanging="10"/>
    </w:pPr>
    <w:rPr>
      <w:rFonts w:ascii="Arial" w:eastAsia="Arial" w:hAnsi="Arial" w:cs="Arial"/>
      <w:color w:val="0000FF"/>
      <w:sz w:val="2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591"/>
      <w:outlineLvl w:val="0"/>
    </w:pPr>
    <w:rPr>
      <w:rFonts w:ascii="Arial" w:eastAsia="Arial" w:hAnsi="Arial" w:cs="Arial"/>
      <w:b/>
      <w:color w:val="0000FF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601" w:hanging="10"/>
      <w:outlineLvl w:val="1"/>
    </w:pPr>
    <w:rPr>
      <w:rFonts w:ascii="Arial" w:eastAsia="Arial" w:hAnsi="Arial" w:cs="Arial"/>
      <w:b/>
      <w:color w:val="0000FF"/>
      <w:sz w:val="20"/>
      <w:u w:val="single" w:color="0000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0000FF"/>
      <w:sz w:val="20"/>
      <w:u w:val="single" w:color="0000FF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>FOA normal</vt:lpstr>
      <vt:lpstr>Før:</vt:lpstr>
      <vt:lpstr>    § 4 	Hæftelse </vt:lpstr>
      <vt:lpstr>    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 normal</dc:title>
  <dc:subject/>
  <dc:creator>Per Grieger-Rene</dc:creator>
  <cp:keywords/>
  <cp:lastModifiedBy>Benny Bakhauge</cp:lastModifiedBy>
  <cp:revision>2</cp:revision>
  <cp:lastPrinted>2022-05-19T17:40:00Z</cp:lastPrinted>
  <dcterms:created xsi:type="dcterms:W3CDTF">2022-05-21T09:58:00Z</dcterms:created>
  <dcterms:modified xsi:type="dcterms:W3CDTF">2022-05-21T09:58:00Z</dcterms:modified>
</cp:coreProperties>
</file>